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C889A" w14:textId="77777777" w:rsidR="002772B2" w:rsidRPr="0013612E" w:rsidRDefault="00000000">
      <w:pPr>
        <w:spacing w:beforeLines="50" w:before="156" w:afterLines="50" w:after="156" w:line="360" w:lineRule="exact"/>
        <w:ind w:firstLineChars="200" w:firstLine="561"/>
        <w:jc w:val="center"/>
        <w:rPr>
          <w:rFonts w:ascii="华文中宋" w:eastAsia="华文中宋" w:hAnsi="华文中宋" w:cs="华文中宋" w:hint="eastAsia"/>
          <w:b/>
          <w:bCs/>
          <w:i/>
          <w:iCs/>
          <w:sz w:val="28"/>
          <w:szCs w:val="28"/>
        </w:rPr>
      </w:pPr>
      <w:r>
        <w:rPr>
          <w:rFonts w:ascii="华文中宋" w:eastAsia="华文中宋" w:hAnsi="华文中宋" w:cs="华文中宋" w:hint="eastAsia"/>
          <w:b/>
          <w:bCs/>
          <w:sz w:val="28"/>
          <w:szCs w:val="28"/>
        </w:rPr>
        <w:t xml:space="preserve">Decoding the Book of </w:t>
      </w:r>
      <w:r w:rsidRPr="0013612E">
        <w:rPr>
          <w:rFonts w:ascii="华文中宋" w:eastAsia="华文中宋" w:hAnsi="华文中宋" w:cs="华文中宋" w:hint="eastAsia"/>
          <w:b/>
          <w:bCs/>
          <w:i/>
          <w:iCs/>
          <w:sz w:val="28"/>
          <w:szCs w:val="28"/>
        </w:rPr>
        <w:t>Xi Jinping: The Governance of China</w:t>
      </w:r>
    </w:p>
    <w:p w14:paraId="10B4366A" w14:textId="77777777" w:rsidR="002772B2" w:rsidRDefault="00000000">
      <w:pPr>
        <w:spacing w:beforeLines="50" w:before="156" w:afterLines="50" w:after="156" w:line="360" w:lineRule="exact"/>
        <w:ind w:firstLineChars="200" w:firstLine="561"/>
        <w:jc w:val="center"/>
        <w:rPr>
          <w:rFonts w:ascii="华文中宋" w:eastAsia="华文中宋" w:hAnsi="华文中宋" w:cs="华文中宋" w:hint="eastAsia"/>
          <w:b/>
          <w:bCs/>
          <w:sz w:val="28"/>
          <w:szCs w:val="28"/>
        </w:rPr>
      </w:pPr>
      <w:r>
        <w:rPr>
          <w:rFonts w:ascii="华文中宋" w:eastAsia="华文中宋" w:hAnsi="华文中宋" w:cs="华文中宋" w:hint="eastAsia"/>
          <w:b/>
          <w:bCs/>
          <w:sz w:val="28"/>
          <w:szCs w:val="28"/>
        </w:rPr>
        <w:t>Write yet another chapter on ‘two miracles’</w:t>
      </w:r>
    </w:p>
    <w:p w14:paraId="4DC68C61" w14:textId="77777777" w:rsidR="002772B2" w:rsidRDefault="002772B2">
      <w:pPr>
        <w:spacing w:line="360" w:lineRule="exact"/>
        <w:ind w:firstLineChars="200" w:firstLine="422"/>
        <w:jc w:val="center"/>
        <w:rPr>
          <w:rFonts w:ascii="宋体" w:eastAsia="宋体" w:hAnsi="宋体" w:cs="宋体" w:hint="eastAsia"/>
          <w:b/>
          <w:bCs/>
          <w:szCs w:val="21"/>
        </w:rPr>
      </w:pPr>
    </w:p>
    <w:p w14:paraId="1032C225" w14:textId="77777777" w:rsidR="002772B2" w:rsidRDefault="00000000">
      <w:pPr>
        <w:spacing w:line="360" w:lineRule="exact"/>
        <w:ind w:firstLineChars="200" w:firstLine="422"/>
        <w:rPr>
          <w:rFonts w:ascii="宋体" w:eastAsia="宋体" w:hAnsi="宋体" w:cs="宋体" w:hint="eastAsia"/>
          <w:b/>
          <w:bCs/>
          <w:i/>
          <w:iCs/>
          <w:szCs w:val="21"/>
        </w:rPr>
      </w:pPr>
      <w:r>
        <w:rPr>
          <w:rFonts w:ascii="宋体" w:eastAsia="宋体" w:hAnsi="宋体" w:cs="宋体" w:hint="eastAsia"/>
          <w:b/>
          <w:bCs/>
          <w:i/>
          <w:iCs/>
          <w:szCs w:val="21"/>
        </w:rPr>
        <w:t>We have advanced reform, opening up, and socialist modernization and have written a new chapter on the miracles of fast economic growth and long-term social stability.</w:t>
      </w:r>
    </w:p>
    <w:p w14:paraId="01B5C0DD" w14:textId="77777777" w:rsidR="002772B2" w:rsidRDefault="00000000">
      <w:pPr>
        <w:spacing w:line="360" w:lineRule="exact"/>
        <w:ind w:firstLineChars="200" w:firstLine="422"/>
        <w:rPr>
          <w:rFonts w:ascii="宋体" w:eastAsia="宋体" w:hAnsi="宋体" w:cs="宋体" w:hint="eastAsia"/>
          <w:b/>
          <w:bCs/>
          <w:i/>
          <w:iCs/>
          <w:szCs w:val="21"/>
        </w:rPr>
      </w:pPr>
      <w:r>
        <w:rPr>
          <w:rFonts w:ascii="宋体" w:eastAsia="宋体" w:hAnsi="宋体" w:cs="宋体" w:hint="eastAsia"/>
          <w:b/>
          <w:bCs/>
          <w:i/>
          <w:iCs/>
          <w:szCs w:val="21"/>
        </w:rPr>
        <w:t>——Xi Jinping: From the report to the 20th National Congress of the Communist Party of China, included in Volume V of the book Xi Jinping: The Governance of China</w:t>
      </w:r>
    </w:p>
    <w:p w14:paraId="2C95AD7C" w14:textId="77777777" w:rsidR="002772B2" w:rsidRDefault="002772B2">
      <w:pPr>
        <w:spacing w:line="360" w:lineRule="exact"/>
        <w:rPr>
          <w:rFonts w:ascii="宋体" w:eastAsia="宋体" w:hAnsi="宋体" w:cs="宋体" w:hint="eastAsia"/>
          <w:b/>
          <w:bCs/>
          <w:szCs w:val="21"/>
        </w:rPr>
      </w:pPr>
    </w:p>
    <w:p w14:paraId="412760C2"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Editor</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Note:</w:t>
      </w:r>
    </w:p>
    <w:p w14:paraId="50FEABFD"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Since the publication of the first volume of </w:t>
      </w:r>
      <w:r>
        <w:rPr>
          <w:rFonts w:ascii="宋体" w:eastAsia="宋体" w:hAnsi="宋体" w:cs="宋体" w:hint="eastAsia"/>
          <w:b/>
          <w:bCs/>
          <w:i/>
          <w:iCs/>
          <w:szCs w:val="21"/>
        </w:rPr>
        <w:t>Xi Jinping: The Governance of China</w:t>
      </w:r>
      <w:r>
        <w:rPr>
          <w:rFonts w:ascii="宋体" w:eastAsia="宋体" w:hAnsi="宋体" w:cs="宋体" w:hint="eastAsia"/>
          <w:b/>
          <w:bCs/>
          <w:szCs w:val="21"/>
        </w:rPr>
        <w:t xml:space="preserve"> in 2014, the book has garnered widespread recognition globally, becoming a key resource for political figures, scholars, and experts in many countries. It stands as the leader</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work with the most published languages, the widest coverage, and the greatest global influence, opening a “window of thought” for understanding China in the new era.</w:t>
      </w:r>
    </w:p>
    <w:p w14:paraId="03B7958E"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To offer global audiences deeper insights into </w:t>
      </w:r>
      <w:r>
        <w:rPr>
          <w:rFonts w:ascii="宋体" w:eastAsia="宋体" w:hAnsi="宋体" w:cs="宋体" w:hint="eastAsia"/>
          <w:b/>
          <w:bCs/>
          <w:i/>
          <w:iCs/>
          <w:szCs w:val="21"/>
        </w:rPr>
        <w:t>Xi Jinping: The Governance of China</w:t>
      </w:r>
      <w:r>
        <w:rPr>
          <w:rFonts w:ascii="宋体" w:eastAsia="宋体" w:hAnsi="宋体" w:cs="宋体" w:hint="eastAsia"/>
          <w:b/>
          <w:bCs/>
          <w:szCs w:val="21"/>
        </w:rPr>
        <w:t xml:space="preserve"> and the key concepts it contains, including perspectives on development, civilization, security, human rights, ecology, international order, and global governance, the Global Times is launching the “Decoding the Book of </w:t>
      </w:r>
      <w:r>
        <w:rPr>
          <w:rFonts w:ascii="宋体" w:eastAsia="宋体" w:hAnsi="宋体" w:cs="宋体" w:hint="eastAsia"/>
          <w:b/>
          <w:bCs/>
          <w:i/>
          <w:iCs/>
          <w:szCs w:val="21"/>
        </w:rPr>
        <w:t>Xi Jinping: The Governance of China</w:t>
      </w:r>
      <w:r>
        <w:rPr>
          <w:rFonts w:ascii="宋体" w:eastAsia="宋体" w:hAnsi="宋体" w:cs="宋体" w:hint="eastAsia"/>
          <w:b/>
          <w:bCs/>
          <w:szCs w:val="21"/>
        </w:rPr>
        <w:t>” series. Through themed columns such as “Scholars’ Perspectives,” “Translators’ Voices,” “Practitioners’ Insights,” and “Readers’ Reflections,” this series will feature perspectives from Chinese and international scholars, translators of the work, practitioners of its concepts, and overseas readers. It aims to share what they have seen and understood about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philosophy, values, and wisdom through the book.</w:t>
      </w:r>
    </w:p>
    <w:p w14:paraId="0F1CB147"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In the 15th installment of the series, the Global Times, along with the People</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Daily Overseas Edition, discusses the theme of “focusing on managing our own affairs, writing yet another chapter on the miracles of rapid economic growth and long-term social stability, and opening up new horizons for Chinese modernization.”</w:t>
      </w:r>
    </w:p>
    <w:p w14:paraId="53B03463" w14:textId="77777777" w:rsidR="002772B2" w:rsidRDefault="002772B2">
      <w:pPr>
        <w:spacing w:line="360" w:lineRule="exact"/>
        <w:rPr>
          <w:rFonts w:ascii="宋体" w:eastAsia="宋体" w:hAnsi="宋体" w:cs="宋体" w:hint="eastAsia"/>
          <w:b/>
          <w:bCs/>
          <w:szCs w:val="21"/>
        </w:rPr>
      </w:pPr>
    </w:p>
    <w:p w14:paraId="6B242855" w14:textId="77777777" w:rsidR="002772B2" w:rsidRDefault="00000000">
      <w:pPr>
        <w:spacing w:beforeLines="50" w:before="156" w:afterLines="50" w:after="156" w:line="360" w:lineRule="exact"/>
        <w:ind w:firstLineChars="200" w:firstLine="561"/>
        <w:jc w:val="center"/>
        <w:rPr>
          <w:rFonts w:ascii="华文中宋" w:eastAsia="华文中宋" w:hAnsi="华文中宋" w:cs="华文中宋" w:hint="eastAsia"/>
          <w:b/>
          <w:bCs/>
          <w:sz w:val="28"/>
          <w:szCs w:val="28"/>
        </w:rPr>
      </w:pPr>
      <w:r>
        <w:rPr>
          <w:rFonts w:ascii="华文中宋" w:eastAsia="华文中宋" w:hAnsi="华文中宋" w:cs="华文中宋" w:hint="eastAsia"/>
          <w:b/>
          <w:bCs/>
          <w:sz w:val="28"/>
          <w:szCs w:val="28"/>
        </w:rPr>
        <w:t>Translators</w:t>
      </w:r>
      <w:proofErr w:type="gramStart"/>
      <w:r>
        <w:rPr>
          <w:rFonts w:ascii="华文中宋" w:eastAsia="华文中宋" w:hAnsi="华文中宋" w:cs="华文中宋" w:hint="eastAsia"/>
          <w:b/>
          <w:bCs/>
          <w:sz w:val="28"/>
          <w:szCs w:val="28"/>
        </w:rPr>
        <w:t>’</w:t>
      </w:r>
      <w:proofErr w:type="gramEnd"/>
      <w:r>
        <w:rPr>
          <w:rFonts w:ascii="华文中宋" w:eastAsia="华文中宋" w:hAnsi="华文中宋" w:cs="华文中宋" w:hint="eastAsia"/>
          <w:b/>
          <w:bCs/>
          <w:sz w:val="28"/>
          <w:szCs w:val="28"/>
        </w:rPr>
        <w:t xml:space="preserve"> Voices: China</w:t>
      </w:r>
      <w:proofErr w:type="gramStart"/>
      <w:r>
        <w:rPr>
          <w:rFonts w:ascii="华文中宋" w:eastAsia="华文中宋" w:hAnsi="华文中宋" w:cs="华文中宋" w:hint="eastAsia"/>
          <w:b/>
          <w:bCs/>
          <w:sz w:val="28"/>
          <w:szCs w:val="28"/>
        </w:rPr>
        <w:t>’</w:t>
      </w:r>
      <w:proofErr w:type="gramEnd"/>
      <w:r>
        <w:rPr>
          <w:rFonts w:ascii="华文中宋" w:eastAsia="华文中宋" w:hAnsi="华文中宋" w:cs="华文中宋" w:hint="eastAsia"/>
          <w:b/>
          <w:bCs/>
          <w:sz w:val="28"/>
          <w:szCs w:val="28"/>
        </w:rPr>
        <w:t>s strong institutional capacity allows for faster implementation of clear nationwide policy</w:t>
      </w:r>
    </w:p>
    <w:p w14:paraId="772CEEFC" w14:textId="77777777" w:rsidR="002772B2" w:rsidRDefault="002772B2">
      <w:pPr>
        <w:spacing w:line="360" w:lineRule="exact"/>
        <w:rPr>
          <w:rFonts w:ascii="宋体" w:eastAsia="宋体" w:hAnsi="宋体" w:cs="宋体" w:hint="eastAsia"/>
          <w:b/>
          <w:bCs/>
          <w:szCs w:val="21"/>
        </w:rPr>
      </w:pPr>
    </w:p>
    <w:p w14:paraId="259CB58D"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Burkhard </w:t>
      </w:r>
      <w:proofErr w:type="spellStart"/>
      <w:r>
        <w:rPr>
          <w:rFonts w:ascii="宋体" w:eastAsia="宋体" w:hAnsi="宋体" w:cs="宋体" w:hint="eastAsia"/>
          <w:b/>
          <w:bCs/>
          <w:szCs w:val="21"/>
        </w:rPr>
        <w:t>Risse</w:t>
      </w:r>
      <w:proofErr w:type="spellEnd"/>
      <w:r>
        <w:rPr>
          <w:rFonts w:ascii="宋体" w:eastAsia="宋体" w:hAnsi="宋体" w:cs="宋体" w:hint="eastAsia"/>
          <w:b/>
          <w:bCs/>
          <w:szCs w:val="21"/>
        </w:rPr>
        <w:t>, member of the translators</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 team of the German edition of </w:t>
      </w:r>
      <w:r>
        <w:rPr>
          <w:rFonts w:ascii="宋体" w:eastAsia="宋体" w:hAnsi="宋体" w:cs="宋体" w:hint="eastAsia"/>
          <w:b/>
          <w:bCs/>
          <w:i/>
          <w:iCs/>
          <w:szCs w:val="21"/>
        </w:rPr>
        <w:t>Xi Jinping: The Governance of China</w:t>
      </w:r>
      <w:r>
        <w:rPr>
          <w:rFonts w:ascii="宋体" w:eastAsia="宋体" w:hAnsi="宋体" w:cs="宋体" w:hint="eastAsia"/>
          <w:b/>
          <w:bCs/>
          <w:szCs w:val="21"/>
        </w:rPr>
        <w:t xml:space="preserve"> and recipient of the 2025 Chinese Government Friendship Award </w:t>
      </w:r>
    </w:p>
    <w:p w14:paraId="101F53AB" w14:textId="77777777" w:rsidR="002772B2" w:rsidRDefault="002772B2">
      <w:pPr>
        <w:spacing w:line="360" w:lineRule="exact"/>
        <w:rPr>
          <w:rFonts w:ascii="宋体" w:eastAsia="宋体" w:hAnsi="宋体" w:cs="宋体" w:hint="eastAsia"/>
          <w:b/>
          <w:bCs/>
          <w:szCs w:val="21"/>
        </w:rPr>
      </w:pPr>
    </w:p>
    <w:p w14:paraId="55BE710A"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GT: As a foreign expert who has long lived and worked in China, you have witnessed the country</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economic and social development during the 14th Five-Year Plan period (2021-25). As China now moves toward the 15th Five-Year Plan (2026-30) period, how has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Five-Year Plan mechanism been able to ensure the country achieves the two great miracles of rapid economic growth and long-term social stability?</w:t>
      </w:r>
    </w:p>
    <w:p w14:paraId="5B3784D6" w14:textId="77777777" w:rsidR="002772B2" w:rsidRDefault="00000000">
      <w:pPr>
        <w:spacing w:line="360" w:lineRule="exact"/>
        <w:rPr>
          <w:rFonts w:ascii="宋体" w:eastAsia="宋体" w:hAnsi="宋体" w:cs="宋体" w:hint="eastAsia"/>
          <w:b/>
          <w:bCs/>
          <w:szCs w:val="21"/>
        </w:rPr>
      </w:pPr>
      <w:proofErr w:type="spellStart"/>
      <w:r>
        <w:rPr>
          <w:rFonts w:ascii="宋体" w:eastAsia="宋体" w:hAnsi="宋体" w:cs="宋体" w:hint="eastAsia"/>
          <w:b/>
          <w:bCs/>
          <w:szCs w:val="21"/>
        </w:rPr>
        <w:t>Risse</w:t>
      </w:r>
      <w:proofErr w:type="spellEnd"/>
      <w:r>
        <w:rPr>
          <w:rFonts w:ascii="宋体" w:eastAsia="宋体" w:hAnsi="宋体" w:cs="宋体" w:hint="eastAsia"/>
          <w:b/>
          <w:bCs/>
          <w:szCs w:val="21"/>
        </w:rPr>
        <w:t>: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s Five-Year Plan system has been successful in promoting economic and social development because it sets out consistent, long-term goals for development. This helps reduce policy uncertainty, enabling industries and governments at all levels to act with relatively stable expectations. This long-term perspective facilitates the execution of large-scale infrastructure projects and industrial policies that might be difficult to sustain in other political systems. By establishing clear, quantitative targets, the central government can direct massive investment into key sectors and infrastructure. </w:t>
      </w:r>
    </w:p>
    <w:p w14:paraId="27B99D5F"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In terms of long-term social stability, the Five-Year Plan system also includes targets for expanding the social safety net, with a strong emphasis on quantifiable objectives for government and Party officials. This helps enhance the measurability and accountability of policy implementation, ensuring that governments at all levels can effectively carry out established goals. </w:t>
      </w:r>
    </w:p>
    <w:p w14:paraId="387231CF" w14:textId="77777777" w:rsidR="002772B2" w:rsidRDefault="002772B2">
      <w:pPr>
        <w:spacing w:line="360" w:lineRule="exact"/>
        <w:rPr>
          <w:rFonts w:ascii="宋体" w:eastAsia="宋体" w:hAnsi="宋体" w:cs="宋体" w:hint="eastAsia"/>
          <w:b/>
          <w:bCs/>
          <w:szCs w:val="21"/>
        </w:rPr>
      </w:pPr>
    </w:p>
    <w:p w14:paraId="01A998DF"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GT: Volume V of </w:t>
      </w:r>
      <w:r>
        <w:rPr>
          <w:rFonts w:ascii="宋体" w:eastAsia="宋体" w:hAnsi="宋体" w:cs="宋体" w:hint="eastAsia"/>
          <w:b/>
          <w:bCs/>
          <w:i/>
          <w:iCs/>
          <w:szCs w:val="21"/>
        </w:rPr>
        <w:t>Xi Jinping: The Governance of China</w:t>
      </w:r>
      <w:r>
        <w:rPr>
          <w:rFonts w:ascii="宋体" w:eastAsia="宋体" w:hAnsi="宋体" w:cs="宋体" w:hint="eastAsia"/>
          <w:b/>
          <w:bCs/>
          <w:szCs w:val="21"/>
        </w:rPr>
        <w:t xml:space="preserve"> states that “the leadership of the CPC is the defining feature of socialism with Chinese characteristics and the greatest strength of the system of socialism with Chinese characteristics.” How do you view the importance of a governing party with strong institutional guarantees and implementation capacity in achieving the main economic and social development goals of the 15th Five-Year Plan period?</w:t>
      </w:r>
    </w:p>
    <w:p w14:paraId="0BDF99B0" w14:textId="77777777" w:rsidR="002772B2" w:rsidRDefault="00000000">
      <w:pPr>
        <w:spacing w:line="360" w:lineRule="exact"/>
        <w:rPr>
          <w:rFonts w:ascii="宋体" w:eastAsia="宋体" w:hAnsi="宋体" w:cs="宋体" w:hint="eastAsia"/>
          <w:b/>
          <w:bCs/>
          <w:szCs w:val="21"/>
        </w:rPr>
      </w:pPr>
      <w:proofErr w:type="spellStart"/>
      <w:r>
        <w:rPr>
          <w:rFonts w:ascii="宋体" w:eastAsia="宋体" w:hAnsi="宋体" w:cs="宋体" w:hint="eastAsia"/>
          <w:b/>
          <w:bCs/>
          <w:szCs w:val="21"/>
        </w:rPr>
        <w:t>Risse</w:t>
      </w:r>
      <w:proofErr w:type="spellEnd"/>
      <w:r>
        <w:rPr>
          <w:rFonts w:ascii="宋体" w:eastAsia="宋体" w:hAnsi="宋体" w:cs="宋体" w:hint="eastAsia"/>
          <w:b/>
          <w:bCs/>
          <w:szCs w:val="21"/>
        </w:rPr>
        <w:t xml:space="preserve">: The leadership of the CPC allows for the creation of clear nationwide directives, which can prevent fragmented or contradictory efforts. This was seen during the formulation of the 15th Five-Year Plan at the fourth plenum, which set a strategic direction for the period. Its strong institutional capacity allows for faster and more decisive implementation of policy compared with more fragmented political systems. The state can act quickly to build infrastructure, adjust markets and mobilize aid in response to crises. The system prioritizes </w:t>
      </w:r>
      <w:r>
        <w:rPr>
          <w:rFonts w:ascii="宋体" w:eastAsia="宋体" w:hAnsi="宋体" w:cs="宋体" w:hint="eastAsia"/>
          <w:b/>
          <w:bCs/>
          <w:szCs w:val="21"/>
        </w:rPr>
        <w:lastRenderedPageBreak/>
        <w:t>long-term stability and continuity of policy, which can be advantageous for complex, multi-decade projects like transitioning to new energy technologies or boosting strategic industries.</w:t>
      </w:r>
    </w:p>
    <w:p w14:paraId="7C3886B0" w14:textId="77777777" w:rsidR="002772B2" w:rsidRDefault="002772B2">
      <w:pPr>
        <w:spacing w:line="360" w:lineRule="exact"/>
        <w:rPr>
          <w:rFonts w:ascii="宋体" w:eastAsia="宋体" w:hAnsi="宋体" w:cs="宋体" w:hint="eastAsia"/>
          <w:b/>
          <w:bCs/>
          <w:szCs w:val="21"/>
        </w:rPr>
      </w:pPr>
    </w:p>
    <w:p w14:paraId="2149472B"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GT: On October 31, President Xi attended the Session I of the 32nd APEC Economic Leaders</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 Meeting and delivered important remarks, pointing out that China will take the opportunity of the 15th Five-Year Plan to further deepen reform comprehensively and expand high-standard opening up, and create new opportunities for the Asia Pacific and the world through the latest achievements of Chinese modernization. The “High-Standard Opening-Up” section of Volume V of </w:t>
      </w:r>
      <w:r>
        <w:rPr>
          <w:rFonts w:ascii="宋体" w:eastAsia="宋体" w:hAnsi="宋体" w:cs="宋体" w:hint="eastAsia"/>
          <w:b/>
          <w:bCs/>
          <w:i/>
          <w:iCs/>
          <w:szCs w:val="21"/>
        </w:rPr>
        <w:t>Xi Jinping: The Governance of China</w:t>
      </w:r>
      <w:r>
        <w:rPr>
          <w:rFonts w:ascii="宋体" w:eastAsia="宋体" w:hAnsi="宋体" w:cs="宋体" w:hint="eastAsia"/>
          <w:b/>
          <w:bCs/>
          <w:szCs w:val="21"/>
        </w:rPr>
        <w:t xml:space="preserve"> also emphasizes that “through our development, we will continue to offer the world new growth momentum and opportunities.” How do you view the global significance of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15th Five-Year Plan?</w:t>
      </w:r>
    </w:p>
    <w:p w14:paraId="2739B467" w14:textId="77777777" w:rsidR="002772B2" w:rsidRDefault="00000000">
      <w:pPr>
        <w:spacing w:line="360" w:lineRule="exact"/>
        <w:rPr>
          <w:rFonts w:ascii="宋体" w:eastAsia="宋体" w:hAnsi="宋体" w:cs="宋体" w:hint="eastAsia"/>
          <w:b/>
          <w:bCs/>
          <w:szCs w:val="21"/>
        </w:rPr>
      </w:pPr>
      <w:proofErr w:type="spellStart"/>
      <w:r>
        <w:rPr>
          <w:rFonts w:ascii="宋体" w:eastAsia="宋体" w:hAnsi="宋体" w:cs="宋体" w:hint="eastAsia"/>
          <w:b/>
          <w:bCs/>
          <w:szCs w:val="21"/>
        </w:rPr>
        <w:t>Risse</w:t>
      </w:r>
      <w:proofErr w:type="spellEnd"/>
      <w:r>
        <w:rPr>
          <w:rFonts w:ascii="宋体" w:eastAsia="宋体" w:hAnsi="宋体" w:cs="宋体" w:hint="eastAsia"/>
          <w:b/>
          <w:bCs/>
          <w:szCs w:val="21"/>
        </w:rPr>
        <w:t>: With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economy continuing to be a major contributor to global growth, its stability will provide a degree of confidence amid global uncertainties. The 15th Five-Year Plan solidifies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status as a major economic power.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s efforts will push for reforms in the global governance system that better represent developing nations, making it more transparent, efficient and stable. </w:t>
      </w:r>
    </w:p>
    <w:p w14:paraId="04FAA7E0"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Despite increased self-reliance,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s commitment to opening up its services sector and expanding market access is expected to provide opportunities for foreign firms, particularly in advanced sectors like electric vehicles and green technology. </w:t>
      </w:r>
    </w:p>
    <w:p w14:paraId="4BD2063C"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China aims to offer an alternative development model to countries in the Global South, and it will present its modernization path which emphasizes strategic autonomy, technological empowerment and mutual benefit as a compelling model for other developing nations. Through the Belt and Road Initiative and other multilateral platforms, China will deepen cooperation with the Global South to help these countries integrate into global industrial and supply chains and strengthen their collective voice in global economic affairs. </w:t>
      </w:r>
    </w:p>
    <w:p w14:paraId="0DF91445" w14:textId="77777777" w:rsidR="002772B2" w:rsidRDefault="002772B2">
      <w:pPr>
        <w:spacing w:line="360" w:lineRule="exact"/>
        <w:rPr>
          <w:rFonts w:ascii="宋体" w:eastAsia="宋体" w:hAnsi="宋体" w:cs="宋体" w:hint="eastAsia"/>
          <w:b/>
          <w:bCs/>
          <w:szCs w:val="21"/>
        </w:rPr>
      </w:pPr>
    </w:p>
    <w:p w14:paraId="08FF2AFD" w14:textId="77777777" w:rsidR="002772B2" w:rsidRDefault="00000000">
      <w:pPr>
        <w:spacing w:beforeLines="50" w:before="156" w:afterLines="50" w:after="156" w:line="360" w:lineRule="exact"/>
        <w:ind w:firstLineChars="200" w:firstLine="561"/>
        <w:jc w:val="center"/>
        <w:rPr>
          <w:rFonts w:ascii="华文中宋" w:eastAsia="华文中宋" w:hAnsi="华文中宋" w:cs="华文中宋" w:hint="eastAsia"/>
          <w:b/>
          <w:bCs/>
          <w:sz w:val="28"/>
          <w:szCs w:val="28"/>
        </w:rPr>
      </w:pPr>
      <w:r>
        <w:rPr>
          <w:rFonts w:ascii="华文中宋" w:eastAsia="华文中宋" w:hAnsi="华文中宋" w:cs="华文中宋" w:hint="eastAsia"/>
          <w:b/>
          <w:bCs/>
          <w:sz w:val="28"/>
          <w:szCs w:val="28"/>
        </w:rPr>
        <w:t>Reader</w:t>
      </w:r>
      <w:proofErr w:type="gramStart"/>
      <w:r>
        <w:rPr>
          <w:rFonts w:ascii="华文中宋" w:eastAsia="华文中宋" w:hAnsi="华文中宋" w:cs="华文中宋" w:hint="eastAsia"/>
          <w:b/>
          <w:bCs/>
          <w:sz w:val="28"/>
          <w:szCs w:val="28"/>
        </w:rPr>
        <w:t>’</w:t>
      </w:r>
      <w:proofErr w:type="gramEnd"/>
      <w:r>
        <w:rPr>
          <w:rFonts w:ascii="华文中宋" w:eastAsia="华文中宋" w:hAnsi="华文中宋" w:cs="华文中宋" w:hint="eastAsia"/>
          <w:b/>
          <w:bCs/>
          <w:sz w:val="28"/>
          <w:szCs w:val="28"/>
        </w:rPr>
        <w:t>s Reflection: Confidence in Chinese modernization success roots in leadership</w:t>
      </w:r>
      <w:proofErr w:type="gramStart"/>
      <w:r>
        <w:rPr>
          <w:rFonts w:ascii="华文中宋" w:eastAsia="华文中宋" w:hAnsi="华文中宋" w:cs="华文中宋" w:hint="eastAsia"/>
          <w:b/>
          <w:bCs/>
          <w:sz w:val="28"/>
          <w:szCs w:val="28"/>
        </w:rPr>
        <w:t>’</w:t>
      </w:r>
      <w:proofErr w:type="gramEnd"/>
      <w:r>
        <w:rPr>
          <w:rFonts w:ascii="华文中宋" w:eastAsia="华文中宋" w:hAnsi="华文中宋" w:cs="华文中宋" w:hint="eastAsia"/>
          <w:b/>
          <w:bCs/>
          <w:sz w:val="28"/>
          <w:szCs w:val="28"/>
        </w:rPr>
        <w:t>s strong governance capacity in conquering development hurdles</w:t>
      </w:r>
    </w:p>
    <w:p w14:paraId="357A1B0F" w14:textId="77777777" w:rsidR="002772B2" w:rsidRDefault="002772B2">
      <w:pPr>
        <w:spacing w:line="360" w:lineRule="exact"/>
        <w:rPr>
          <w:rFonts w:ascii="宋体" w:eastAsia="宋体" w:hAnsi="宋体" w:cs="宋体" w:hint="eastAsia"/>
          <w:b/>
          <w:bCs/>
          <w:szCs w:val="21"/>
        </w:rPr>
      </w:pPr>
    </w:p>
    <w:p w14:paraId="72C816AB"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Erik Solheim: chairman of Europe-Asia Center, and former under secretary-general </w:t>
      </w:r>
      <w:r>
        <w:rPr>
          <w:rFonts w:ascii="宋体" w:eastAsia="宋体" w:hAnsi="宋体" w:cs="宋体" w:hint="eastAsia"/>
          <w:b/>
          <w:bCs/>
          <w:szCs w:val="21"/>
        </w:rPr>
        <w:lastRenderedPageBreak/>
        <w:t xml:space="preserve">of the United Nations and the executive director of United Nations Environment </w:t>
      </w:r>
      <w:proofErr w:type="spellStart"/>
      <w:r>
        <w:rPr>
          <w:rFonts w:ascii="宋体" w:eastAsia="宋体" w:hAnsi="宋体" w:cs="宋体" w:hint="eastAsia"/>
          <w:b/>
          <w:bCs/>
          <w:szCs w:val="21"/>
        </w:rPr>
        <w:t>Programme</w:t>
      </w:r>
      <w:proofErr w:type="spellEnd"/>
    </w:p>
    <w:p w14:paraId="4EE3CD6F" w14:textId="77777777" w:rsidR="002772B2" w:rsidRDefault="002772B2">
      <w:pPr>
        <w:spacing w:line="360" w:lineRule="exact"/>
        <w:rPr>
          <w:rFonts w:ascii="宋体" w:eastAsia="宋体" w:hAnsi="宋体" w:cs="宋体" w:hint="eastAsia"/>
          <w:b/>
          <w:bCs/>
          <w:szCs w:val="21"/>
        </w:rPr>
      </w:pPr>
    </w:p>
    <w:p w14:paraId="0D393F1A"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The 15th Five-Year Plan (2026-30) prioritizing self-reliance underscores technological innovation</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pivotal role in national modernization. However, when some nations or regions attempt to exclude China from their markets, it is only logical choice for China to strengthen its own capabilities. Meanwhile, China seeks to avoid escalating tensions, while it must safeguard its own interests and ensure independence from those who attempt to hold it back. This strategy of technological autonomy defends the country</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innovation sovereignty while contributing to a fairer global tech ecosystem and the advancement of worldwide progress.</w:t>
      </w:r>
    </w:p>
    <w:p w14:paraId="14F55CA1"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Over the next five years, I think China is poised for more original and disruptive innovations. With breakthroughs in areas like AI, biomedicine, and clean energy set to advance productivity and quality of life, initiatives like the Belt and Road Initiative will foster mutually beneficial global cooperation in science and technology.</w:t>
      </w:r>
    </w:p>
    <w:p w14:paraId="7C20A15D"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Meanwhile,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s continuous commitment to opening-up sends a clear message to the world: The country will remain a firm supporter and driver of globalization. Today, almost all economic growth in the world today is taking place in Asia. Asia has become the engine of global growth, </w:t>
      </w:r>
      <w:proofErr w:type="gramStart"/>
      <w:r>
        <w:rPr>
          <w:rFonts w:ascii="宋体" w:eastAsia="宋体" w:hAnsi="宋体" w:cs="宋体" w:hint="eastAsia"/>
          <w:b/>
          <w:bCs/>
          <w:szCs w:val="21"/>
        </w:rPr>
        <w:t>creating</w:t>
      </w:r>
      <w:proofErr w:type="gramEnd"/>
      <w:r>
        <w:rPr>
          <w:rFonts w:ascii="宋体" w:eastAsia="宋体" w:hAnsi="宋体" w:cs="宋体" w:hint="eastAsia"/>
          <w:b/>
          <w:bCs/>
          <w:szCs w:val="21"/>
        </w:rPr>
        <w:t xml:space="preserve"> vast markets and increasing fresh demand, which benefits not only the region but also everyone.</w:t>
      </w:r>
    </w:p>
    <w:p w14:paraId="3BF996B9"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continued opening-up and its leadership in green transition has great practical significance and global implications. We see Chinese green and tech investments are going global, bringing advanced wind and solar technologies, EVs and more to the world. Such cooperation will not only grow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economy but also help advance global sustainable development, contributing to a more inclusive and resilient world economy.</w:t>
      </w:r>
    </w:p>
    <w:p w14:paraId="7E083EA8"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My confidence in China achieving its modernization by 2035 stems from the country</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proven resilience in tackling complex challenges. The complementarity and synergy between the two is what drives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vitality and underpins its institutional strength. The government sets long-term vision and regulation – for example, introducing new quality productive forces – while robust market competition drives innovation, lowers costs, and delivers benefits to ordinary people.</w:t>
      </w:r>
    </w:p>
    <w:p w14:paraId="2BA3D457"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Of course, China also faces multiple challenges. For instance, the process of green transition must be inclusive, benefiting not only advanced coastal provinces like East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Jiangsu and South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s Guangdong but also the </w:t>
      </w:r>
      <w:r>
        <w:rPr>
          <w:rFonts w:ascii="宋体" w:eastAsia="宋体" w:hAnsi="宋体" w:cs="宋体" w:hint="eastAsia"/>
          <w:b/>
          <w:bCs/>
          <w:szCs w:val="21"/>
        </w:rPr>
        <w:lastRenderedPageBreak/>
        <w:t>vast western regions. However,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strong governance system makes it better positioned than many Western countries to overcome such obstacles.</w:t>
      </w:r>
    </w:p>
    <w:p w14:paraId="524EFD9E"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From my travels in China, the high-speed rail system is a perfect example of the system</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efficiency. China has built about a 48,000-kilometer network – roughly the distance from Paris to Beijing and back three times. It is a truly remarkable feat. This achievement in modern urban development is possible because China has a strong government capable of making decisions and executing them effectively.</w:t>
      </w:r>
    </w:p>
    <w:p w14:paraId="54F72356"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The Western world cannot simply copy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system, as it is deeply rooted in the nation</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unique cultural traditions. But we should learn from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s efficiency to improve governance. We need to build public projects like housing, high-speed rail, and subways, as China has done. </w:t>
      </w:r>
    </w:p>
    <w:p w14:paraId="5C46BEC3"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Amid rising global uncertainty, the Chinese leadership, through long-term planning and efficient resource allocation, not only addresses domestic challenges but also maintains stability amid external uncertainties, ensuring steady advance of Chinese modernization and offering lessons for global governance.</w:t>
      </w:r>
    </w:p>
    <w:p w14:paraId="7868119C" w14:textId="77777777" w:rsidR="002772B2" w:rsidRDefault="002772B2">
      <w:pPr>
        <w:spacing w:line="360" w:lineRule="exact"/>
        <w:rPr>
          <w:rFonts w:ascii="宋体" w:eastAsia="宋体" w:hAnsi="宋体" w:cs="宋体" w:hint="eastAsia"/>
          <w:b/>
          <w:bCs/>
          <w:szCs w:val="21"/>
        </w:rPr>
      </w:pPr>
    </w:p>
    <w:p w14:paraId="384BDD98" w14:textId="77777777" w:rsidR="002772B2" w:rsidRDefault="00000000">
      <w:pPr>
        <w:spacing w:beforeLines="50" w:before="156" w:afterLines="50" w:after="156" w:line="360" w:lineRule="exact"/>
        <w:ind w:firstLineChars="200" w:firstLine="561"/>
        <w:jc w:val="center"/>
        <w:rPr>
          <w:rFonts w:ascii="华文中宋" w:eastAsia="华文中宋" w:hAnsi="华文中宋" w:cs="华文中宋" w:hint="eastAsia"/>
          <w:b/>
          <w:bCs/>
          <w:sz w:val="28"/>
          <w:szCs w:val="28"/>
        </w:rPr>
      </w:pPr>
      <w:r>
        <w:rPr>
          <w:rFonts w:ascii="华文中宋" w:eastAsia="华文中宋" w:hAnsi="华文中宋" w:cs="华文中宋" w:hint="eastAsia"/>
          <w:b/>
          <w:bCs/>
          <w:sz w:val="28"/>
          <w:szCs w:val="28"/>
        </w:rPr>
        <w:t>Practitioners</w:t>
      </w:r>
      <w:proofErr w:type="gramStart"/>
      <w:r>
        <w:rPr>
          <w:rFonts w:ascii="华文中宋" w:eastAsia="华文中宋" w:hAnsi="华文中宋" w:cs="华文中宋" w:hint="eastAsia"/>
          <w:b/>
          <w:bCs/>
          <w:sz w:val="28"/>
          <w:szCs w:val="28"/>
        </w:rPr>
        <w:t>’</w:t>
      </w:r>
      <w:proofErr w:type="gramEnd"/>
      <w:r>
        <w:rPr>
          <w:rFonts w:ascii="华文中宋" w:eastAsia="华文中宋" w:hAnsi="华文中宋" w:cs="华文中宋" w:hint="eastAsia"/>
          <w:b/>
          <w:bCs/>
          <w:sz w:val="28"/>
          <w:szCs w:val="28"/>
        </w:rPr>
        <w:t xml:space="preserve"> Insights: Village CEOs craft a ‘common prosperity’ example in a small village in Zhejiang </w:t>
      </w:r>
    </w:p>
    <w:p w14:paraId="0E6F8B83" w14:textId="77777777" w:rsidR="002772B2" w:rsidRDefault="002772B2">
      <w:pPr>
        <w:spacing w:line="360" w:lineRule="exact"/>
        <w:rPr>
          <w:rFonts w:ascii="宋体" w:eastAsia="宋体" w:hAnsi="宋体" w:cs="宋体" w:hint="eastAsia"/>
          <w:b/>
          <w:bCs/>
          <w:szCs w:val="21"/>
        </w:rPr>
      </w:pPr>
    </w:p>
    <w:p w14:paraId="2AEAB5E8"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By Lin </w:t>
      </w:r>
      <w:proofErr w:type="spellStart"/>
      <w:r>
        <w:rPr>
          <w:rFonts w:ascii="宋体" w:eastAsia="宋体" w:hAnsi="宋体" w:cs="宋体" w:hint="eastAsia"/>
          <w:b/>
          <w:bCs/>
          <w:szCs w:val="21"/>
        </w:rPr>
        <w:t>Xiaoyi</w:t>
      </w:r>
      <w:proofErr w:type="spellEnd"/>
    </w:p>
    <w:p w14:paraId="6140A597" w14:textId="77777777" w:rsidR="002772B2" w:rsidRDefault="002772B2">
      <w:pPr>
        <w:spacing w:line="360" w:lineRule="exact"/>
        <w:rPr>
          <w:rFonts w:ascii="宋体" w:eastAsia="宋体" w:hAnsi="宋体" w:cs="宋体" w:hint="eastAsia"/>
          <w:b/>
          <w:bCs/>
          <w:szCs w:val="21"/>
        </w:rPr>
      </w:pPr>
    </w:p>
    <w:p w14:paraId="569F8B37"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At dawn, the village of </w:t>
      </w:r>
      <w:proofErr w:type="spellStart"/>
      <w:r>
        <w:rPr>
          <w:rFonts w:ascii="宋体" w:eastAsia="宋体" w:hAnsi="宋体" w:cs="宋体" w:hint="eastAsia"/>
          <w:b/>
          <w:bCs/>
          <w:szCs w:val="21"/>
        </w:rPr>
        <w:t>Lizu</w:t>
      </w:r>
      <w:proofErr w:type="spellEnd"/>
      <w:r>
        <w:rPr>
          <w:rFonts w:ascii="宋体" w:eastAsia="宋体" w:hAnsi="宋体" w:cs="宋体" w:hint="eastAsia"/>
          <w:b/>
          <w:bCs/>
          <w:szCs w:val="21"/>
        </w:rPr>
        <w:t xml:space="preserve"> in Yiwu, East China</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Zhejiang Province, is often awakened by three sounds: the hissing of coffee machines, the crackle of packing tape sealing parcels, and the cheerful chime of doors opening as new entrepreneurs arrive to start a busy day.</w:t>
      </w:r>
    </w:p>
    <w:p w14:paraId="68501842"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This vibrant scene is hard to imagine for a place that was once shunned by its own villagers, who felt embarrassed to mention their hometown and saw no hope for development. Today, </w:t>
      </w:r>
      <w:proofErr w:type="spellStart"/>
      <w:r>
        <w:rPr>
          <w:rFonts w:ascii="宋体" w:eastAsia="宋体" w:hAnsi="宋体" w:cs="宋体" w:hint="eastAsia"/>
          <w:b/>
          <w:bCs/>
          <w:szCs w:val="21"/>
        </w:rPr>
        <w:t>Lizu</w:t>
      </w:r>
      <w:proofErr w:type="spellEnd"/>
      <w:r>
        <w:rPr>
          <w:rFonts w:ascii="宋体" w:eastAsia="宋体" w:hAnsi="宋体" w:cs="宋体" w:hint="eastAsia"/>
          <w:b/>
          <w:bCs/>
          <w:szCs w:val="21"/>
        </w:rPr>
        <w:t xml:space="preserve"> has transformed into a lively hub where young people gather to start businesses and pursue dreams.</w:t>
      </w:r>
    </w:p>
    <w:p w14:paraId="24D9EC07"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The transformation was the result of more than 20 years of persistent effort. In 2003, Zhejiang launched the “Thousand Villages Demonstration and Ten Thousand Villages Renovation” project, marking the beginning of </w:t>
      </w:r>
      <w:proofErr w:type="spellStart"/>
      <w:r>
        <w:rPr>
          <w:rFonts w:ascii="宋体" w:eastAsia="宋体" w:hAnsi="宋体" w:cs="宋体" w:hint="eastAsia"/>
          <w:b/>
          <w:bCs/>
          <w:szCs w:val="21"/>
        </w:rPr>
        <w:t>Lizu</w:t>
      </w:r>
      <w:proofErr w:type="spellEnd"/>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s metamorphosis. In July 2020, </w:t>
      </w:r>
      <w:proofErr w:type="spellStart"/>
      <w:r>
        <w:rPr>
          <w:rFonts w:ascii="宋体" w:eastAsia="宋体" w:hAnsi="宋体" w:cs="宋体" w:hint="eastAsia"/>
          <w:b/>
          <w:bCs/>
          <w:szCs w:val="21"/>
        </w:rPr>
        <w:t>Lizu</w:t>
      </w:r>
      <w:proofErr w:type="spellEnd"/>
      <w:r>
        <w:rPr>
          <w:rFonts w:ascii="宋体" w:eastAsia="宋体" w:hAnsi="宋体" w:cs="宋体" w:hint="eastAsia"/>
          <w:b/>
          <w:bCs/>
          <w:szCs w:val="21"/>
        </w:rPr>
        <w:t xml:space="preserve"> pioneered a village CEO model, introducing an entrepreneurial space that provides young business founders with comprehensive support in policy, </w:t>
      </w:r>
      <w:r>
        <w:rPr>
          <w:rFonts w:ascii="宋体" w:eastAsia="宋体" w:hAnsi="宋体" w:cs="宋体" w:hint="eastAsia"/>
          <w:b/>
          <w:bCs/>
          <w:szCs w:val="21"/>
        </w:rPr>
        <w:lastRenderedPageBreak/>
        <w:t>funding, and training. In just a few years, this once remote and resource-scarce mountain village has attracted 271 young entrepreneurs, giving rise to 73 startup projects. By 2024, the village</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s collective income has reached 4.64 million yuan ($652,000).</w:t>
      </w:r>
    </w:p>
    <w:p w14:paraId="7EE8EFB0"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“From </w:t>
      </w:r>
      <w:proofErr w:type="spellStart"/>
      <w:r>
        <w:rPr>
          <w:rFonts w:ascii="宋体" w:eastAsia="宋体" w:hAnsi="宋体" w:cs="宋体" w:hint="eastAsia"/>
          <w:b/>
          <w:bCs/>
          <w:szCs w:val="21"/>
        </w:rPr>
        <w:t>Lizu</w:t>
      </w:r>
      <w:proofErr w:type="spellEnd"/>
      <w:r>
        <w:rPr>
          <w:rFonts w:ascii="宋体" w:eastAsia="宋体" w:hAnsi="宋体" w:cs="宋体" w:hint="eastAsia"/>
          <w:b/>
          <w:bCs/>
          <w:szCs w:val="21"/>
        </w:rPr>
        <w:t>’s transformation, I have truly felt how national policies translate step by step into real gains for ordinary people,” said Jin Jing, who is in charge of the village</w:t>
      </w:r>
      <w:proofErr w:type="gramStart"/>
      <w:r>
        <w:rPr>
          <w:rFonts w:ascii="宋体" w:eastAsia="宋体" w:hAnsi="宋体" w:cs="宋体" w:hint="eastAsia"/>
          <w:b/>
          <w:bCs/>
          <w:szCs w:val="21"/>
        </w:rPr>
        <w:t>’</w:t>
      </w:r>
      <w:proofErr w:type="gramEnd"/>
      <w:r>
        <w:rPr>
          <w:rFonts w:ascii="宋体" w:eastAsia="宋体" w:hAnsi="宋体" w:cs="宋体" w:hint="eastAsia"/>
          <w:b/>
          <w:bCs/>
          <w:szCs w:val="21"/>
        </w:rPr>
        <w:t xml:space="preserve">s business operations and often dubbed the CEO of </w:t>
      </w:r>
      <w:proofErr w:type="spellStart"/>
      <w:r>
        <w:rPr>
          <w:rFonts w:ascii="宋体" w:eastAsia="宋体" w:hAnsi="宋体" w:cs="宋体" w:hint="eastAsia"/>
          <w:b/>
          <w:bCs/>
          <w:szCs w:val="21"/>
        </w:rPr>
        <w:t>Lizu</w:t>
      </w:r>
      <w:proofErr w:type="spellEnd"/>
      <w:r>
        <w:rPr>
          <w:rFonts w:ascii="宋体" w:eastAsia="宋体" w:hAnsi="宋体" w:cs="宋体" w:hint="eastAsia"/>
          <w:b/>
          <w:bCs/>
          <w:szCs w:val="21"/>
        </w:rPr>
        <w:t>, told the Global Times.</w:t>
      </w:r>
    </w:p>
    <w:p w14:paraId="71D1DA93"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In the Volume V of the book </w:t>
      </w:r>
      <w:r>
        <w:rPr>
          <w:rFonts w:ascii="宋体" w:eastAsia="宋体" w:hAnsi="宋体" w:cs="宋体" w:hint="eastAsia"/>
          <w:b/>
          <w:bCs/>
          <w:i/>
          <w:iCs/>
          <w:szCs w:val="21"/>
        </w:rPr>
        <w:t>Xi Jinping: The Governance of China</w:t>
      </w:r>
      <w:r>
        <w:rPr>
          <w:rFonts w:ascii="宋体" w:eastAsia="宋体" w:hAnsi="宋体" w:cs="宋体" w:hint="eastAsia"/>
          <w:b/>
          <w:bCs/>
          <w:szCs w:val="21"/>
        </w:rPr>
        <w:t>, the article “Prioritize the People’s Wellbeing in Chinese Modernization” states: “The whole Party should further apply the people-centered philosophy of development and give higher priority to common prosperity as specified at the 20th CPC National Congress. We should make sustained and steady efforts, do all we can within our capacity, and make more notable and substantive progress towards this goal through high-quality development.”</w:t>
      </w:r>
    </w:p>
    <w:p w14:paraId="7C4B6622"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“We hope that during the 15th Five-Year Plan period (2026-30), </w:t>
      </w:r>
      <w:proofErr w:type="spellStart"/>
      <w:r>
        <w:rPr>
          <w:rFonts w:ascii="宋体" w:eastAsia="宋体" w:hAnsi="宋体" w:cs="宋体" w:hint="eastAsia"/>
          <w:b/>
          <w:bCs/>
          <w:szCs w:val="21"/>
        </w:rPr>
        <w:t>Lizu</w:t>
      </w:r>
      <w:proofErr w:type="spellEnd"/>
      <w:r>
        <w:rPr>
          <w:rFonts w:ascii="宋体" w:eastAsia="宋体" w:hAnsi="宋体" w:cs="宋体" w:hint="eastAsia"/>
          <w:b/>
          <w:bCs/>
          <w:szCs w:val="21"/>
        </w:rPr>
        <w:t xml:space="preserve">’s development will continue to serve as a window for the world to observe how China ‘unswervingly manages our own affairs well,’ and as an example of how China sustains its two miracles of rapid economic growth and long-term social stability,” Jin said. </w:t>
      </w:r>
    </w:p>
    <w:p w14:paraId="17D008A8" w14:textId="77777777" w:rsidR="002772B2" w:rsidRDefault="00000000">
      <w:pPr>
        <w:spacing w:line="360" w:lineRule="exact"/>
        <w:rPr>
          <w:rFonts w:ascii="宋体" w:eastAsia="宋体" w:hAnsi="宋体" w:cs="宋体" w:hint="eastAsia"/>
          <w:b/>
          <w:bCs/>
          <w:szCs w:val="21"/>
        </w:rPr>
      </w:pPr>
      <w:r>
        <w:rPr>
          <w:rFonts w:ascii="宋体" w:eastAsia="宋体" w:hAnsi="宋体" w:cs="宋体" w:hint="eastAsia"/>
          <w:b/>
          <w:bCs/>
          <w:szCs w:val="21"/>
        </w:rPr>
        <w:t xml:space="preserve">From poverty alleviation to rural revitalization, from the “Thousand Villages Demonstration and Ten Thousand Villages Renovation” project to the pursuit of common prosperity, how do these national strategies take root in one small village? </w:t>
      </w:r>
      <w:proofErr w:type="spellStart"/>
      <w:r>
        <w:rPr>
          <w:rFonts w:ascii="宋体" w:eastAsia="宋体" w:hAnsi="宋体" w:cs="宋体" w:hint="eastAsia"/>
          <w:b/>
          <w:bCs/>
          <w:szCs w:val="21"/>
        </w:rPr>
        <w:t>Lizu</w:t>
      </w:r>
      <w:proofErr w:type="spellEnd"/>
      <w:proofErr w:type="gramStart"/>
      <w:r>
        <w:rPr>
          <w:rFonts w:ascii="宋体" w:eastAsia="宋体" w:hAnsi="宋体" w:cs="宋体" w:hint="eastAsia"/>
          <w:b/>
          <w:bCs/>
          <w:szCs w:val="21"/>
        </w:rPr>
        <w:t>’</w:t>
      </w:r>
      <w:proofErr w:type="gramEnd"/>
      <w:r>
        <w:rPr>
          <w:rFonts w:ascii="宋体" w:eastAsia="宋体" w:hAnsi="宋体" w:cs="宋体" w:hint="eastAsia"/>
          <w:b/>
          <w:bCs/>
          <w:szCs w:val="21"/>
        </w:rPr>
        <w:t>s answer is written in the fingertips of its entrepreneurs, the smiles of its villagers, and the accounts of its common prosperity.</w:t>
      </w:r>
    </w:p>
    <w:p w14:paraId="71502959" w14:textId="77777777" w:rsidR="002772B2" w:rsidRDefault="002772B2">
      <w:pPr>
        <w:spacing w:line="360" w:lineRule="exact"/>
        <w:rPr>
          <w:rFonts w:ascii="宋体" w:eastAsia="宋体" w:hAnsi="宋体" w:cs="宋体" w:hint="eastAsia"/>
          <w:b/>
          <w:bCs/>
          <w:szCs w:val="21"/>
        </w:rPr>
      </w:pPr>
    </w:p>
    <w:p w14:paraId="1A3AE72D" w14:textId="77777777" w:rsidR="002772B2" w:rsidRDefault="002772B2">
      <w:pPr>
        <w:spacing w:line="360" w:lineRule="exact"/>
        <w:ind w:firstLine="420"/>
        <w:rPr>
          <w:rFonts w:ascii="宋体" w:eastAsia="宋体" w:hAnsi="宋体" w:cs="宋体" w:hint="eastAsia"/>
          <w:b/>
          <w:bCs/>
          <w:szCs w:val="21"/>
        </w:rPr>
      </w:pPr>
    </w:p>
    <w:sectPr w:rsidR="002772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F8FF6" w14:textId="77777777" w:rsidR="002A10B6" w:rsidRDefault="002A10B6" w:rsidP="0013612E">
      <w:r>
        <w:separator/>
      </w:r>
    </w:p>
  </w:endnote>
  <w:endnote w:type="continuationSeparator" w:id="0">
    <w:p w14:paraId="3719BFE6" w14:textId="77777777" w:rsidR="002A10B6" w:rsidRDefault="002A10B6" w:rsidP="0013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calaOT-Regular">
    <w:panose1 w:val="02010504040101020104"/>
    <w:charset w:val="00"/>
    <w:family w:val="modern"/>
    <w:notTrueType/>
    <w:pitch w:val="variable"/>
    <w:sig w:usb0="800000AF" w:usb1="4000E05B" w:usb2="00000000" w:usb3="00000000" w:csb0="00000001" w:csb1="00000000"/>
  </w:font>
  <w:font w:name="Times">
    <w:panose1 w:val="00000000000000000000"/>
    <w:charset w:val="00"/>
    <w:family w:val="auto"/>
    <w:pitch w:val="variable"/>
    <w:sig w:usb0="E00002FF" w:usb1="5000205A" w:usb2="00000000" w:usb3="00000000" w:csb0="0000019F" w:csb1="00000000"/>
  </w:font>
  <w:font w:name="ScalaSansOT-Light">
    <w:panose1 w:val="02010504040101020104"/>
    <w:charset w:val="00"/>
    <w:family w:val="modern"/>
    <w:notTrueType/>
    <w:pitch w:val="variable"/>
    <w:sig w:usb0="800000AF" w:usb1="4000E04A" w:usb2="00000000" w:usb3="00000000" w:csb0="00000001" w:csb1="00000000"/>
  </w:font>
  <w:font w:name="ScalaSansOT-Bold">
    <w:panose1 w:val="02010804040101020104"/>
    <w:charset w:val="00"/>
    <w:family w:val="modern"/>
    <w:notTrueType/>
    <w:pitch w:val="variable"/>
    <w:sig w:usb0="800000AF" w:usb1="4000E04A" w:usb2="00000000" w:usb3="00000000" w:csb0="00000001" w:csb1="00000000"/>
  </w:font>
  <w:font w:name="ScalaSansOT-Black">
    <w:panose1 w:val="02010A04060101020104"/>
    <w:charset w:val="00"/>
    <w:family w:val="modern"/>
    <w:notTrueType/>
    <w:pitch w:val="variable"/>
    <w:sig w:usb0="800000AF" w:usb1="4000E04A" w:usb2="00000000" w:usb3="00000000" w:csb0="00000001" w:csb1="00000000"/>
  </w:font>
  <w:font w:name="ScalaSansOT-Regular">
    <w:panose1 w:val="02010504040101020104"/>
    <w:charset w:val="00"/>
    <w:family w:val="modern"/>
    <w:notTrueType/>
    <w:pitch w:val="variable"/>
    <w:sig w:usb0="800000AF" w:usb1="4000E04A" w:usb2="00000000" w:usb3="00000000" w:csb0="00000001" w:csb1="00000000"/>
  </w:font>
  <w:font w:name="ScalaOT-Bold">
    <w:panose1 w:val="02010804050101020104"/>
    <w:charset w:val="00"/>
    <w:family w:val="modern"/>
    <w:notTrueType/>
    <w:pitch w:val="variable"/>
    <w:sig w:usb0="800000AF" w:usb1="4000E05B"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6C08" w14:textId="77777777" w:rsidR="002A10B6" w:rsidRDefault="002A10B6" w:rsidP="0013612E">
      <w:r>
        <w:separator/>
      </w:r>
    </w:p>
  </w:footnote>
  <w:footnote w:type="continuationSeparator" w:id="0">
    <w:p w14:paraId="24444E75" w14:textId="77777777" w:rsidR="002A10B6" w:rsidRDefault="002A10B6" w:rsidP="001361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F6FFD1BC"/>
    <w:rsid w:val="F7DFB32F"/>
    <w:rsid w:val="FFFE12DB"/>
    <w:rsid w:val="0013612E"/>
    <w:rsid w:val="00172A27"/>
    <w:rsid w:val="002772B2"/>
    <w:rsid w:val="002912C9"/>
    <w:rsid w:val="002A10B6"/>
    <w:rsid w:val="00472386"/>
    <w:rsid w:val="00575C4B"/>
    <w:rsid w:val="00810E7B"/>
    <w:rsid w:val="00916E2B"/>
    <w:rsid w:val="00A12856"/>
    <w:rsid w:val="00C17BA0"/>
    <w:rsid w:val="00E562A9"/>
    <w:rsid w:val="00EE467A"/>
    <w:rsid w:val="02603EC3"/>
    <w:rsid w:val="06623ECF"/>
    <w:rsid w:val="06926080"/>
    <w:rsid w:val="07B90CB8"/>
    <w:rsid w:val="08E17105"/>
    <w:rsid w:val="0CB944CF"/>
    <w:rsid w:val="0EDC703A"/>
    <w:rsid w:val="10251C90"/>
    <w:rsid w:val="1509028A"/>
    <w:rsid w:val="153E19D7"/>
    <w:rsid w:val="166B5873"/>
    <w:rsid w:val="16E318AE"/>
    <w:rsid w:val="1F8B3820"/>
    <w:rsid w:val="216E7FC6"/>
    <w:rsid w:val="22DF6647"/>
    <w:rsid w:val="2342795C"/>
    <w:rsid w:val="24CF6FCD"/>
    <w:rsid w:val="27FFDE76"/>
    <w:rsid w:val="282E3C6D"/>
    <w:rsid w:val="29A0362E"/>
    <w:rsid w:val="2A3E70CF"/>
    <w:rsid w:val="2DCC49F2"/>
    <w:rsid w:val="2FAF7AD9"/>
    <w:rsid w:val="3A836438"/>
    <w:rsid w:val="3CD964BC"/>
    <w:rsid w:val="3ED100BA"/>
    <w:rsid w:val="41B45A71"/>
    <w:rsid w:val="439D5979"/>
    <w:rsid w:val="45BB7C69"/>
    <w:rsid w:val="45F4013C"/>
    <w:rsid w:val="4954425A"/>
    <w:rsid w:val="4A3B6D2F"/>
    <w:rsid w:val="4C914A2C"/>
    <w:rsid w:val="4CD56315"/>
    <w:rsid w:val="4D64659D"/>
    <w:rsid w:val="4EF87893"/>
    <w:rsid w:val="50577CF3"/>
    <w:rsid w:val="51DC2BA6"/>
    <w:rsid w:val="53004EBF"/>
    <w:rsid w:val="536F6EE4"/>
    <w:rsid w:val="54113878"/>
    <w:rsid w:val="54996232"/>
    <w:rsid w:val="54AA5ACD"/>
    <w:rsid w:val="55284354"/>
    <w:rsid w:val="59F7BF93"/>
    <w:rsid w:val="5A61633E"/>
    <w:rsid w:val="5A623E64"/>
    <w:rsid w:val="5B8B4C36"/>
    <w:rsid w:val="64D67929"/>
    <w:rsid w:val="678E44EB"/>
    <w:rsid w:val="698E79C0"/>
    <w:rsid w:val="6B32F89E"/>
    <w:rsid w:val="6C23219D"/>
    <w:rsid w:val="6C755C79"/>
    <w:rsid w:val="72516841"/>
    <w:rsid w:val="72D07765"/>
    <w:rsid w:val="74AC23FC"/>
    <w:rsid w:val="75EB61F0"/>
    <w:rsid w:val="76283D5C"/>
    <w:rsid w:val="7DF81DAA"/>
    <w:rsid w:val="7F071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3AC3597-71DC-45E7-B011-1EDF399BD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99" w:unhideWhenUsed="1"/>
    <w:lsdException w:name="Subtitle" w:qFormat="1"/>
    <w:lsdException w:name="Body Tex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4"/>
    <w:uiPriority w:val="99"/>
    <w:unhideWhenUsed/>
    <w:pPr>
      <w:spacing w:line="200" w:lineRule="atLeast"/>
      <w:ind w:firstLine="227"/>
    </w:pPr>
    <w:rPr>
      <w:rFonts w:ascii="ScalaOT-Regular" w:eastAsia="ScalaOT-Regular" w:hAnsi="ScalaOT-Regular"/>
      <w:spacing w:val="-2"/>
      <w:sz w:val="19"/>
      <w:lang w:val="en-US"/>
    </w:rPr>
  </w:style>
  <w:style w:type="paragraph" w:customStyle="1" w:styleId="a4">
    <w:name w:val="[无段落样式]"/>
    <w:uiPriority w:val="99"/>
    <w:unhideWhenUsed/>
    <w:pPr>
      <w:widowControl w:val="0"/>
      <w:autoSpaceDE w:val="0"/>
      <w:autoSpaceDN w:val="0"/>
      <w:adjustRightInd w:val="0"/>
      <w:spacing w:line="288" w:lineRule="auto"/>
      <w:textAlignment w:val="center"/>
    </w:pPr>
    <w:rPr>
      <w:rFonts w:ascii="Times" w:eastAsia="Times" w:hAnsi="Times"/>
      <w:color w:val="000000"/>
      <w:sz w:val="24"/>
      <w:szCs w:val="24"/>
      <w:lang w:val="en-GB"/>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2">
    <w:name w:val="Body Text 2"/>
    <w:basedOn w:val="a3"/>
    <w:uiPriority w:val="99"/>
    <w:unhideWhenUsed/>
    <w:qFormat/>
    <w:rPr>
      <w:rFonts w:ascii="ScalaSansOT-Light" w:eastAsia="ScalaSansOT-Light" w:hAnsi="ScalaSansOT-Light"/>
      <w:spacing w:val="-4"/>
      <w:sz w:val="18"/>
    </w:rPr>
  </w:style>
  <w:style w:type="paragraph" w:styleId="a9">
    <w:name w:val="Normal (Web)"/>
    <w:basedOn w:val="a"/>
    <w:qFormat/>
    <w:pPr>
      <w:spacing w:beforeAutospacing="1" w:afterAutospacing="1"/>
      <w:jc w:val="left"/>
    </w:pPr>
    <w:rPr>
      <w:rFonts w:cs="Times New Roman"/>
      <w:kern w:val="0"/>
      <w:sz w:val="24"/>
    </w:rPr>
  </w:style>
  <w:style w:type="character" w:styleId="aa">
    <w:name w:val="Strong"/>
    <w:basedOn w:val="a0"/>
    <w:qFormat/>
    <w:rPr>
      <w:b/>
    </w:rPr>
  </w:style>
  <w:style w:type="character" w:styleId="ab">
    <w:name w:val="Emphasis"/>
    <w:basedOn w:val="a0"/>
    <w:qFormat/>
    <w:rPr>
      <w:i/>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paragraph" w:customStyle="1" w:styleId="Headline80">
    <w:name w:val="Headline 80"/>
    <w:basedOn w:val="a4"/>
    <w:uiPriority w:val="99"/>
    <w:unhideWhenUsed/>
    <w:qFormat/>
    <w:pPr>
      <w:suppressAutoHyphens/>
      <w:spacing w:line="1600" w:lineRule="atLeast"/>
    </w:pPr>
    <w:rPr>
      <w:rFonts w:ascii="ScalaOT-Regular" w:eastAsia="ScalaOT-Regular" w:hAnsi="ScalaOT-Regular"/>
      <w:spacing w:val="-40"/>
      <w:sz w:val="160"/>
      <w:lang w:val="en-US"/>
    </w:rPr>
  </w:style>
  <w:style w:type="paragraph" w:customStyle="1" w:styleId="Highlight">
    <w:name w:val="Highlight"/>
    <w:basedOn w:val="a3"/>
    <w:uiPriority w:val="99"/>
    <w:unhideWhenUsed/>
    <w:qFormat/>
    <w:pPr>
      <w:spacing w:line="300" w:lineRule="atLeast"/>
      <w:ind w:left="170" w:right="170" w:firstLine="0"/>
    </w:pPr>
    <w:rPr>
      <w:rFonts w:ascii="ScalaSansOT-Bold" w:eastAsia="ScalaSansOT-Bold" w:hAnsi="ScalaSansOT-Bold"/>
      <w:b/>
      <w:color w:val="FFFFFF"/>
      <w:sz w:val="24"/>
    </w:rPr>
  </w:style>
  <w:style w:type="paragraph" w:customStyle="1" w:styleId="Attributes">
    <w:name w:val="Attributes"/>
    <w:basedOn w:val="a4"/>
    <w:next w:val="Attributestitle"/>
    <w:uiPriority w:val="99"/>
    <w:unhideWhenUsed/>
    <w:qFormat/>
    <w:pPr>
      <w:pBdr>
        <w:top w:val="single" w:sz="2" w:space="20" w:color="FFE67A"/>
      </w:pBdr>
      <w:suppressAutoHyphens/>
      <w:spacing w:before="283"/>
    </w:pPr>
    <w:rPr>
      <w:rFonts w:ascii="ScalaSansOT-Black" w:eastAsia="ScalaSansOT-Black" w:hAnsi="ScalaSansOT-Black"/>
      <w:color w:val="FFE67A"/>
      <w:sz w:val="20"/>
      <w:lang w:val="en-US"/>
    </w:rPr>
  </w:style>
  <w:style w:type="paragraph" w:customStyle="1" w:styleId="Attributestitle">
    <w:name w:val="Attributes title"/>
    <w:basedOn w:val="Liftout"/>
    <w:next w:val="a4"/>
    <w:uiPriority w:val="99"/>
    <w:unhideWhenUsed/>
    <w:qFormat/>
    <w:rPr>
      <w:rFonts w:ascii="ScalaSansOT-Regular" w:eastAsia="ScalaSansOT-Regular" w:hAnsi="ScalaSansOT-Regular"/>
      <w:color w:val="000000"/>
      <w:sz w:val="16"/>
    </w:rPr>
  </w:style>
  <w:style w:type="paragraph" w:customStyle="1" w:styleId="Liftout">
    <w:name w:val="Liftout"/>
    <w:basedOn w:val="a4"/>
    <w:next w:val="Attributes"/>
    <w:uiPriority w:val="99"/>
    <w:unhideWhenUsed/>
    <w:qFormat/>
    <w:pPr>
      <w:suppressAutoHyphens/>
    </w:pPr>
    <w:rPr>
      <w:rFonts w:ascii="ScalaOT-Regular" w:eastAsia="ScalaOT-Regular" w:hAnsi="ScalaOT-Regular"/>
      <w:color w:val="FFE67A"/>
      <w:sz w:val="30"/>
      <w:lang w:val="en-US"/>
    </w:rPr>
  </w:style>
  <w:style w:type="paragraph" w:customStyle="1" w:styleId="10">
    <w:name w:val="段落样式1"/>
    <w:basedOn w:val="Attributes"/>
    <w:uiPriority w:val="99"/>
    <w:unhideWhenUsed/>
    <w:pPr>
      <w:pBdr>
        <w:top w:val="single" w:sz="2" w:space="20" w:color="000000"/>
      </w:pBdr>
      <w:spacing w:line="300" w:lineRule="atLeast"/>
    </w:pPr>
    <w:rPr>
      <w:color w:val="E20011"/>
      <w:sz w:val="36"/>
    </w:rPr>
  </w:style>
  <w:style w:type="paragraph" w:customStyle="1" w:styleId="Bodytext21stpara">
    <w:name w:val="Body text2 1st para"/>
    <w:basedOn w:val="a3"/>
    <w:uiPriority w:val="99"/>
    <w:unhideWhenUsed/>
    <w:qFormat/>
    <w:pPr>
      <w:ind w:firstLine="0"/>
    </w:pPr>
    <w:rPr>
      <w:rFonts w:ascii="ScalaSansOT-Light" w:eastAsia="ScalaSansOT-Light" w:hAnsi="ScalaSansOT-Light"/>
      <w:spacing w:val="-4"/>
      <w:sz w:val="18"/>
    </w:rPr>
  </w:style>
  <w:style w:type="paragraph" w:customStyle="1" w:styleId="Bodytext2rugged">
    <w:name w:val="Body text 2 rugged"/>
    <w:basedOn w:val="2"/>
    <w:uiPriority w:val="99"/>
    <w:unhideWhenUsed/>
  </w:style>
  <w:style w:type="paragraph" w:customStyle="1" w:styleId="Headline44">
    <w:name w:val="Headline 44"/>
    <w:basedOn w:val="Headline80"/>
    <w:uiPriority w:val="99"/>
    <w:unhideWhenUsed/>
    <w:pPr>
      <w:spacing w:line="880" w:lineRule="atLeast"/>
    </w:pPr>
    <w:rPr>
      <w:spacing w:val="-22"/>
      <w:sz w:val="88"/>
    </w:rPr>
  </w:style>
  <w:style w:type="paragraph" w:customStyle="1" w:styleId="Headline24">
    <w:name w:val="Headline 24"/>
    <w:basedOn w:val="Headline44"/>
    <w:uiPriority w:val="99"/>
    <w:unhideWhenUsed/>
    <w:qFormat/>
    <w:pPr>
      <w:spacing w:line="480" w:lineRule="atLeast"/>
    </w:pPr>
    <w:rPr>
      <w:spacing w:val="-12"/>
      <w:sz w:val="48"/>
    </w:rPr>
  </w:style>
  <w:style w:type="paragraph" w:customStyle="1" w:styleId="Subhead">
    <w:name w:val="Subhead"/>
    <w:basedOn w:val="a3"/>
    <w:uiPriority w:val="99"/>
    <w:unhideWhenUsed/>
    <w:pPr>
      <w:suppressAutoHyphens/>
      <w:spacing w:before="57"/>
      <w:ind w:firstLine="0"/>
    </w:pPr>
    <w:rPr>
      <w:rFonts w:ascii="ScalaSansOT-Black" w:eastAsia="ScalaSansOT-Black" w:hAnsi="ScalaSansOT-Black"/>
      <w:color w:val="A2003A"/>
    </w:rPr>
  </w:style>
  <w:style w:type="paragraph" w:customStyle="1" w:styleId="Q">
    <w:name w:val="Q"/>
    <w:basedOn w:val="a4"/>
    <w:uiPriority w:val="99"/>
    <w:unhideWhenUsed/>
    <w:qFormat/>
    <w:pPr>
      <w:suppressAutoHyphens/>
      <w:spacing w:line="200" w:lineRule="atLeast"/>
    </w:pPr>
    <w:rPr>
      <w:rFonts w:ascii="ScalaOT-Bold" w:eastAsia="ScalaOT-Bold" w:hAnsi="ScalaOT-Bold"/>
      <w:b/>
      <w:color w:val="A2003A"/>
      <w:spacing w:val="-2"/>
      <w:w w:val="102"/>
      <w:sz w:val="18"/>
      <w:lang w:val="en-US"/>
    </w:rPr>
  </w:style>
  <w:style w:type="paragraph" w:customStyle="1" w:styleId="Bodytextrugged1stpara">
    <w:name w:val="Body text rugged 1st para"/>
    <w:basedOn w:val="a4"/>
    <w:uiPriority w:val="99"/>
    <w:unhideWhenUsed/>
    <w:pPr>
      <w:spacing w:line="200" w:lineRule="atLeast"/>
    </w:pPr>
    <w:rPr>
      <w:rFonts w:ascii="ScalaOT-Regular" w:eastAsia="ScalaOT-Regular" w:hAnsi="ScalaOT-Regular"/>
      <w:spacing w:val="-2"/>
      <w:sz w:val="19"/>
      <w:lang w:val="en-US"/>
    </w:rPr>
  </w:style>
  <w:style w:type="paragraph" w:customStyle="1" w:styleId="Bodytextrugged">
    <w:name w:val="Body text rugged"/>
    <w:basedOn w:val="a4"/>
    <w:uiPriority w:val="99"/>
    <w:unhideWhenUsed/>
    <w:qFormat/>
    <w:pPr>
      <w:spacing w:line="200" w:lineRule="atLeast"/>
      <w:ind w:firstLine="227"/>
    </w:pPr>
    <w:rPr>
      <w:rFonts w:ascii="ScalaOT-Regular" w:eastAsia="ScalaOT-Regular" w:hAnsi="ScalaOT-Regular"/>
      <w:spacing w:val="-2"/>
      <w:sz w:val="19"/>
      <w:lang w:val="en-US"/>
    </w:rPr>
  </w:style>
  <w:style w:type="paragraph" w:customStyle="1" w:styleId="Ac">
    <w:name w:val="A"/>
    <w:basedOn w:val="a4"/>
    <w:uiPriority w:val="99"/>
    <w:unhideWhenUsed/>
    <w:qFormat/>
    <w:pPr>
      <w:suppressAutoHyphens/>
      <w:spacing w:line="200" w:lineRule="atLeast"/>
    </w:pPr>
    <w:rPr>
      <w:rFonts w:ascii="ScalaOT-Regular" w:eastAsia="ScalaOT-Regular" w:hAnsi="ScalaOT-Regular"/>
      <w:spacing w:val="-2"/>
      <w:sz w:val="19"/>
      <w:lang w:val="en-US"/>
    </w:rPr>
  </w:style>
  <w:style w:type="character" w:customStyle="1" w:styleId="QA">
    <w:name w:val="Q&amp;A"/>
    <w:uiPriority w:val="99"/>
    <w:unhideWhenUsed/>
    <w:qFormat/>
    <w:rPr>
      <w:rFonts w:ascii="ScalaSansOT-Black" w:eastAsia="ScalaSansOT-Black" w:hAnsi="ScalaSansOT-Black" w:hint="default"/>
      <w:sz w:val="19"/>
      <w:szCs w:val="24"/>
    </w:rPr>
  </w:style>
  <w:style w:type="paragraph" w:customStyle="1" w:styleId="Byline">
    <w:name w:val="Byline"/>
    <w:basedOn w:val="a3"/>
    <w:uiPriority w:val="99"/>
    <w:unhideWhenUsed/>
    <w:pPr>
      <w:pBdr>
        <w:bottom w:val="single" w:sz="2" w:space="10" w:color="auto"/>
      </w:pBdr>
      <w:ind w:firstLine="0"/>
    </w:pPr>
    <w:rPr>
      <w:rFonts w:ascii="ScalaSansOT-Black" w:eastAsia="ScalaSansOT-Black" w:hAnsi="ScalaSansOT-Black"/>
      <w:position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2009</Words>
  <Characters>11452</Characters>
  <Application>Microsoft Office Word</Application>
  <DocSecurity>0</DocSecurity>
  <Lines>95</Lines>
  <Paragraphs>26</Paragraphs>
  <ScaleCrop>false</ScaleCrop>
  <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【冷舒眉】</dc:creator>
  <cp:lastModifiedBy>Globaltimes</cp:lastModifiedBy>
  <cp:revision>5</cp:revision>
  <dcterms:created xsi:type="dcterms:W3CDTF">2025-04-14T07:48:00Z</dcterms:created>
  <dcterms:modified xsi:type="dcterms:W3CDTF">2026-05-12T08:12:00Z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7A1802ABEA484BDEA1919487C0CE5AA0_13</vt:lpwstr>
  </property>
  <property fmtid="{D5CDD505-2E9C-101B-9397-08002B2CF9AE}" pid="4" name="KSOTemplateDocerSaveRecord">
    <vt:lpwstr>eyJoZGlkIjoiODk3MjcwZjY4YmQ2OGU0Zjc5ZDBkZmRhNzNiNTJhM2MiLCJ1c2VySWQiOiIzMTA1ODQzODIifQ==</vt:lpwstr>
  </property>
</Properties>
</file>